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drawing>
          <wp:inline xmlns:a="http://schemas.openxmlformats.org/drawingml/2006/main" xmlns:pic="http://schemas.openxmlformats.org/drawingml/2006/picture">
            <wp:extent cx="5266944" cy="301752"/>
            <wp:docPr id="1" name="Picture 1"/>
            <wp:cNvGraphicFramePr>
              <a:graphicFrameLocks noChangeAspect="1"/>
            </wp:cNvGraphicFramePr>
            <a:graphic>
              <a:graphicData uri="http://schemas.openxmlformats.org/drawingml/2006/picture">
                <pic:pic>
                  <pic:nvPicPr>
                    <pic:cNvPr id="0" name="d4r_strip.png"/>
                    <pic:cNvPicPr/>
                  </pic:nvPicPr>
                  <pic:blipFill>
                    <a:blip r:embed="rId9"/>
                    <a:stretch>
                      <a:fillRect/>
                    </a:stretch>
                  </pic:blipFill>
                  <pic:spPr>
                    <a:xfrm>
                      <a:off x="0" y="0"/>
                      <a:ext cx="5266944" cy="301752"/>
                    </a:xfrm>
                    <a:prstGeom prst="rect"/>
                  </pic:spPr>
                </pic:pic>
              </a:graphicData>
            </a:graphic>
          </wp:inline>
        </w:drawing>
      </w:r>
    </w:p>
    <w:p/>
    <w:p>
      <w:pPr>
        <w:pStyle w:val="Heading1"/>
      </w:pPr>
      <w:r>
        <w:t>Report</w:t>
      </w:r>
    </w:p>
    <w:p>
      <w:r>
        <w:t>Session: hiEEYSeiiI, Date: 2025-09-17 19:05</w:t>
      </w:r>
    </w:p>
    <w:p/>
    <w:p>
      <w:r>
        <w:rPr>
          <w:i/>
        </w:rPr>
        <w:t>This is the report of your FCM experiment with the PoMM platform.</w:t>
      </w:r>
    </w:p>
    <w:p>
      <w:r>
        <w:rPr>
          <w:i/>
        </w:rPr>
        <w:t>The report directly shows all the choices you made in your simulation, the notes you entered and the resulting images (graphs or maps).</w:t>
      </w:r>
    </w:p>
    <w:p/>
    <w:p>
      <w:pPr>
        <w:pStyle w:val="Heading2"/>
      </w:pPr>
      <w:r>
        <w:t>Unity of Analysis, NBS and CEC</w:t>
      </w:r>
    </w:p>
    <w:p/>
    <w:p>
      <w:r>
        <w:rPr>
          <w:i/>
        </w:rPr>
        <w:t>This section contains the geographical area, the Natural Based Solution (NBS) and the Contaminant of emerging concern (CEC) selected for your experiment.</w:t>
      </w:r>
    </w:p>
    <w:p/>
    <w:p>
      <w:pPr>
        <w:pStyle w:val="Heading3"/>
      </w:pPr>
      <w:r>
        <w:t>Selected Region</w:t>
      </w:r>
    </w:p>
    <w:p>
      <w:r>
        <w:t>Name: Fyn</w:t>
      </w:r>
    </w:p>
    <w:p>
      <w:r>
        <w:t>ID: DK031</w:t>
      </w:r>
    </w:p>
    <w:p>
      <w:pPr>
        <w:pStyle w:val="Heading3"/>
      </w:pPr>
      <w:r>
        <w:t>Selected LAU</w:t>
      </w:r>
    </w:p>
    <w:p>
      <w:r>
        <w:t>Name: Odense</w:t>
      </w:r>
    </w:p>
    <w:p>
      <w:r>
        <w:t>Code: 461</w:t>
      </w:r>
    </w:p>
    <w:p>
      <w:pPr>
        <w:pStyle w:val="Heading3"/>
      </w:pPr>
      <w:r>
        <w:t>Selected Natural Based Solution</w:t>
      </w:r>
    </w:p>
    <w:p>
      <w:r>
        <w:t>ID: Green Roofs and Facades</w:t>
      </w:r>
    </w:p>
    <w:p>
      <w:r>
        <w:t>Name: Green Roofs and Facades</w:t>
      </w:r>
    </w:p>
    <w:p>
      <w:r>
        <w:t>Description: Green roofs refer to the external upper covering of a building which the main objective is to favor the growth of vegetation keeping the habitability conditions in the rooms below. Similarly, green facades (also called green walls) are vegetated coverages for external building walls.</w:t>
      </w:r>
    </w:p>
    <w:p>
      <w:r>
        <w:drawing>
          <wp:inline xmlns:a="http://schemas.openxmlformats.org/drawingml/2006/main" xmlns:pic="http://schemas.openxmlformats.org/drawingml/2006/picture">
            <wp:extent cx="1371600" cy="1578634"/>
            <wp:docPr id="2" name="Picture 2"/>
            <wp:cNvGraphicFramePr>
              <a:graphicFrameLocks noChangeAspect="1"/>
            </wp:cNvGraphicFramePr>
            <a:graphic>
              <a:graphicData uri="http://schemas.openxmlformats.org/drawingml/2006/picture">
                <pic:pic>
                  <pic:nvPicPr>
                    <pic:cNvPr id="0" name="Green Roofs and Facades.jpg"/>
                    <pic:cNvPicPr/>
                  </pic:nvPicPr>
                  <pic:blipFill>
                    <a:blip r:embed="rId10"/>
                    <a:stretch>
                      <a:fillRect/>
                    </a:stretch>
                  </pic:blipFill>
                  <pic:spPr>
                    <a:xfrm>
                      <a:off x="0" y="0"/>
                      <a:ext cx="1371600" cy="1578634"/>
                    </a:xfrm>
                    <a:prstGeom prst="rect"/>
                  </pic:spPr>
                </pic:pic>
              </a:graphicData>
            </a:graphic>
          </wp:inline>
        </w:drawing>
      </w:r>
    </w:p>
    <w:p/>
    <w:p>
      <w:pPr>
        <w:pStyle w:val="Heading3"/>
      </w:pPr>
      <w:r>
        <w:t>Selected Contaminant of emerging concern</w:t>
      </w:r>
    </w:p>
    <w:p>
      <w:r>
        <w:t>Compound Name: Not applicable</w:t>
      </w:r>
    </w:p>
    <w:p>
      <w:r>
        <w:t>Family: Not applicable</w:t>
      </w:r>
    </w:p>
    <w:p>
      <w:r>
        <w:t>Compound: Not applicable</w:t>
      </w:r>
    </w:p>
    <w:p>
      <w:r>
        <w:t>CAS: Not applicable</w:t>
      </w:r>
    </w:p>
    <w:p/>
    <w:p>
      <w:pPr>
        <w:pStyle w:val="Heading2"/>
      </w:pPr>
      <w:r>
        <w:t>Decision process flow (represented in BPMN)</w:t>
      </w:r>
    </w:p>
    <w:p/>
    <w:p>
      <w:r>
        <w:rPr>
          <w:i/>
        </w:rPr>
        <w:t>This is the decision flow you choose, modify or create for your experiment.</w:t>
      </w:r>
    </w:p>
    <w:p/>
    <w:p>
      <w:r>
        <w:drawing>
          <wp:inline xmlns:a="http://schemas.openxmlformats.org/drawingml/2006/main" xmlns:pic="http://schemas.openxmlformats.org/drawingml/2006/picture">
            <wp:extent cx="5486400" cy="3801752"/>
            <wp:docPr id="3" name="Picture 3"/>
            <wp:cNvGraphicFramePr>
              <a:graphicFrameLocks noChangeAspect="1"/>
            </wp:cNvGraphicFramePr>
            <a:graphic>
              <a:graphicData uri="http://schemas.openxmlformats.org/drawingml/2006/picture">
                <pic:pic>
                  <pic:nvPicPr>
                    <pic:cNvPr id="0" name="diagram_hiEEYSeiiI.png"/>
                    <pic:cNvPicPr/>
                  </pic:nvPicPr>
                  <pic:blipFill>
                    <a:blip r:embed="rId11"/>
                    <a:stretch>
                      <a:fillRect/>
                    </a:stretch>
                  </pic:blipFill>
                  <pic:spPr>
                    <a:xfrm>
                      <a:off x="0" y="0"/>
                      <a:ext cx="5486400" cy="3801752"/>
                    </a:xfrm>
                    <a:prstGeom prst="rect"/>
                  </pic:spPr>
                </pic:pic>
              </a:graphicData>
            </a:graphic>
          </wp:inline>
        </w:drawing>
      </w:r>
    </w:p>
    <w:p/>
    <w:p>
      <w:pPr>
        <w:pStyle w:val="Heading2"/>
      </w:pPr>
      <w:r>
        <w:t>Identification of most important entities</w:t>
      </w:r>
    </w:p>
    <w:p/>
    <w:p>
      <w:r>
        <w:rPr>
          <w:i/>
        </w:rPr>
        <w:t>This section reports the variables you selected for your experiment.</w:t>
      </w:r>
    </w:p>
    <w:p/>
    <w:p>
      <w:pPr>
        <w:pStyle w:val="ListBullet"/>
      </w:pPr>
      <w:r>
        <w:t>Net Present value (NPV) index of the intervention (benefit–cost)</w:t>
      </w:r>
    </w:p>
    <w:p>
      <w:pPr>
        <w:pStyle w:val="ListBullet"/>
      </w:pPr>
      <w:r>
        <w:t>Success rate in integrate NBS into the city's renovation of pre-1977 buildings</w:t>
      </w:r>
    </w:p>
    <w:p>
      <w:pPr>
        <w:pStyle w:val="ListBullet"/>
      </w:pPr>
      <w:r>
        <w:t>Degree of commitment to future monitoring and sustainability coming from construction permit provisions (conditionality)</w:t>
      </w:r>
    </w:p>
    <w:p>
      <w:pPr>
        <w:pStyle w:val="ListBullet"/>
      </w:pPr>
      <w:r>
        <w:t>Level of Technical compliance of the AP/NBS</w:t>
      </w:r>
    </w:p>
    <w:p>
      <w:pPr>
        <w:pStyle w:val="ListBullet"/>
      </w:pPr>
      <w:r>
        <w:t>Degree of integration with water, energy and waste system competence in city administration to evaluate NBS in retrofitting</w:t>
      </w:r>
    </w:p>
    <w:p>
      <w:pPr>
        <w:pStyle w:val="ListBullet"/>
      </w:pPr>
      <w:r>
        <w:t>Availability of interdepartmental feedback</w:t>
      </w:r>
    </w:p>
    <w:p>
      <w:pPr>
        <w:pStyle w:val="ListBullet"/>
      </w:pPr>
      <w:r>
        <w:t>Availability of information about securing insurance coverage for NBS installations</w:t>
      </w:r>
    </w:p>
    <w:p>
      <w:pPr>
        <w:pStyle w:val="ListBullet"/>
      </w:pPr>
      <w:r>
        <w:t>Degree of environmental competence in city administration to evaluate NBS</w:t>
      </w:r>
    </w:p>
    <w:p>
      <w:pPr>
        <w:pStyle w:val="ListBullet"/>
      </w:pPr>
      <w:r>
        <w:t>Availability of integrated digital permitting system in the Municipality</w:t>
      </w:r>
    </w:p>
    <w:p>
      <w:pPr>
        <w:pStyle w:val="ListBullet"/>
      </w:pPr>
      <w:r>
        <w:t>Level of public awareness of NBS</w:t>
      </w:r>
    </w:p>
    <w:p>
      <w:pPr>
        <w:pStyle w:val="ListBullet"/>
      </w:pPr>
      <w:r>
        <w:t>Number of objections or complaints filed by neighbors during renovation</w:t>
      </w:r>
    </w:p>
    <w:p>
      <w:pPr>
        <w:pStyle w:val="ListBullet"/>
      </w:pPr>
      <w:r>
        <w:t>Level of representation of high quality expertise on NBS among public servants (especially in retrofitting pre-77 buildings)</w:t>
      </w:r>
    </w:p>
    <w:p>
      <w:pPr>
        <w:pStyle w:val="ListBullet"/>
      </w:pPr>
      <w:r>
        <w:t>Degree of inclusion of NBS in city operational urban framework</w:t>
      </w:r>
    </w:p>
    <w:p>
      <w:pPr>
        <w:pStyle w:val="ListBullet"/>
      </w:pPr>
      <w:r>
        <w:t>Impact of the attractiveness of skills upgrading in the retrofitting of pre-1977 buildings with NBS</w:t>
      </w:r>
    </w:p>
    <w:p>
      <w:pPr>
        <w:pStyle w:val="ListBullet"/>
      </w:pPr>
      <w:r>
        <w:t>Capacity of enforcement of corrective action by city administration</w:t>
      </w:r>
    </w:p>
    <w:p>
      <w:pPr>
        <w:pStyle w:val="ListBullet"/>
      </w:pPr>
      <w:r>
        <w:t>Level of expertise on NBS application to retrofitting among professional involved</w:t>
      </w:r>
    </w:p>
    <w:p>
      <w:pPr>
        <w:pStyle w:val="ListBullet"/>
      </w:pPr>
      <w:r>
        <w:t>Degree of misalingnment during the renovation phase</w:t>
      </w:r>
    </w:p>
    <w:p>
      <w:pPr>
        <w:pStyle w:val="ListBullet"/>
      </w:pPr>
      <w:r>
        <w:t>Clarity of incentives or financial support mechanisms</w:t>
      </w:r>
    </w:p>
    <w:p>
      <w:pPr>
        <w:pStyle w:val="ListBullet"/>
      </w:pPr>
      <w:r>
        <w:t>Stakeholder &amp; Local communities engagement index</w:t>
      </w:r>
    </w:p>
    <w:p>
      <w:pPr>
        <w:pStyle w:val="ListBullet"/>
      </w:pPr>
      <w:r>
        <w:t>Level of interaction and complexity of regulations (local, regional, national)</w:t>
      </w:r>
    </w:p>
    <w:p/>
    <w:p>
      <w:pPr>
        <w:pStyle w:val="Heading2"/>
      </w:pPr>
      <w:r>
        <w:t>Intermediate Notes</w:t>
      </w:r>
    </w:p>
    <w:p/>
    <w:p>
      <w:r>
        <w:rPr>
          <w:i/>
        </w:rPr>
        <w:t>Below are the notes you entered to document the first phase of your experiment. If you did not add any comments, only the titles are displayed in this section.</w:t>
      </w:r>
    </w:p>
    <w:p/>
    <w:p>
      <w:pPr>
        <w:pStyle w:val="Heading3"/>
      </w:pPr>
      <w:r>
        <w:t>Unity of analysis (NUTS, NBS &amp; CEC)</w:t>
      </w:r>
    </w:p>
    <w:p>
      <w:r>
        <w:t>The selected code corresponds to the geographical area concerned by the evaluation, according to the European statistical nomenclature NUTS/LAU. The NBS and CECs chosen for the evaluation were previously selected from the libraries of the D4Runoff platform using the criteria provided.</w:t>
        <w:br/>
        <w:br/>
        <w:br/>
        <w:br/>
        <w:t>The area of the analysis is the Municipality of ODENSE.</w:t>
        <w:br/>
        <w:br/>
        <w:br/>
        <w:br/>
        <w:t>The focus in on NBS related to pre-1977 building retrofitting.</w:t>
        <w:br/>
        <w:br/>
        <w:t xml:space="preserve">            </w:t>
      </w:r>
    </w:p>
    <w:p>
      <w:pPr>
        <w:pStyle w:val="Heading3"/>
      </w:pPr>
      <w:r>
        <w:t>Decision process flow</w:t>
      </w:r>
    </w:p>
    <w:p>
      <w:r>
        <w:t>The diagram describes the process examined according to the BPMN standard with session shared with the Odense Municipality.</w:t>
        <w:br/>
        <w:br/>
        <w:t xml:space="preserve">            </w:t>
      </w:r>
    </w:p>
    <w:p>
      <w:pPr>
        <w:pStyle w:val="Heading3"/>
      </w:pPr>
      <w:r>
        <w:t>Entities selection</w:t>
      </w:r>
    </w:p>
    <w:p>
      <w:r>
        <w:t>The annotations refer to the variables considered important or critical for the issue of policy making / decision making under consideration.</w:t>
        <w:br/>
        <w:br/>
        <w:br/>
        <w:br/>
        <w:t>The variables have been chosen referring to the notes of the Odense Municipality shared with an initial questionnaire about the case under analysis.</w:t>
        <w:br/>
        <w:br/>
        <w:br/>
        <w:br/>
        <w:br/>
        <w:br/>
        <w:t xml:space="preserve">            </w:t>
      </w:r>
    </w:p>
    <w:p/>
    <w:sectPr w:rsidR="00FC693F" w:rsidRPr="0006063C" w:rsidSect="00034616">
      <w:footerReference w:type="default" r:id="rId1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jc w:val="center"/>
    </w:pPr>
    <w:r>
      <w:rPr>
        <w:color w:val="000000"/>
        <w:sz w:val="20"/>
      </w:rPr>
      <w:fldChar w:fldCharType="begin"/>
      <w:instrText xml:space="preserve">PAGE</w:instrText>
      <w:fldChar w:fldCharType="end"/>
    </w:r>
  </w:p>
</w:ft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image" Target="media/image1.png"/><Relationship Id="rId10" Type="http://schemas.openxmlformats.org/officeDocument/2006/relationships/image" Target="media/image2.jpg"/><Relationship Id="rId11" Type="http://schemas.openxmlformats.org/officeDocument/2006/relationships/image" Target="media/image3.png"/><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